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4" w:rsidRDefault="002257A4" w:rsidP="00797852">
      <w:pPr>
        <w:tabs>
          <w:tab w:val="left" w:pos="2160"/>
        </w:tabs>
        <w:rPr>
          <w:rFonts w:cs="Arial"/>
          <w:szCs w:val="22"/>
        </w:rPr>
      </w:pPr>
    </w:p>
    <w:p w:rsidR="00611316" w:rsidRDefault="00611316" w:rsidP="00797852">
      <w:pPr>
        <w:tabs>
          <w:tab w:val="left" w:pos="2160"/>
        </w:tabs>
        <w:rPr>
          <w:rFonts w:cs="Arial"/>
          <w:szCs w:val="22"/>
        </w:rPr>
      </w:pPr>
    </w:p>
    <w:p w:rsidR="00611316" w:rsidRPr="00EA716D" w:rsidRDefault="00611316" w:rsidP="00611316">
      <w:pPr>
        <w:tabs>
          <w:tab w:val="left" w:pos="720"/>
          <w:tab w:val="left" w:pos="2160"/>
        </w:tabs>
        <w:jc w:val="center"/>
        <w:rPr>
          <w:rFonts w:ascii="Verdana" w:hAnsi="Verdana"/>
          <w:b/>
          <w:caps/>
          <w:sz w:val="24"/>
        </w:rPr>
      </w:pPr>
      <w:r w:rsidRPr="00EA716D">
        <w:rPr>
          <w:rFonts w:ascii="Verdana" w:hAnsi="Verdana"/>
          <w:b/>
          <w:caps/>
          <w:sz w:val="24"/>
        </w:rPr>
        <w:t xml:space="preserve">Protection and Permanency </w:t>
      </w:r>
      <w:r w:rsidR="00C81FBF" w:rsidRPr="00EA716D">
        <w:rPr>
          <w:rFonts w:ascii="Verdana" w:hAnsi="Verdana"/>
          <w:b/>
          <w:caps/>
          <w:sz w:val="24"/>
        </w:rPr>
        <w:t xml:space="preserve">Information </w:t>
      </w:r>
      <w:r w:rsidRPr="00EA716D">
        <w:rPr>
          <w:rFonts w:ascii="Verdana" w:hAnsi="Verdana"/>
          <w:b/>
          <w:caps/>
          <w:sz w:val="24"/>
        </w:rPr>
        <w:t>Memorandum, PP</w:t>
      </w:r>
      <w:r w:rsidR="003C6ABB">
        <w:rPr>
          <w:rFonts w:ascii="Verdana" w:hAnsi="Verdana"/>
          <w:b/>
          <w:caps/>
          <w:sz w:val="24"/>
        </w:rPr>
        <w:t>I</w:t>
      </w:r>
      <w:r w:rsidRPr="00EA716D">
        <w:rPr>
          <w:rFonts w:ascii="Verdana" w:hAnsi="Verdana"/>
          <w:b/>
          <w:caps/>
          <w:sz w:val="24"/>
        </w:rPr>
        <w:t>M 11-02</w:t>
      </w:r>
    </w:p>
    <w:p w:rsidR="00611316" w:rsidRPr="00EA716D" w:rsidRDefault="00611316" w:rsidP="00611316">
      <w:pPr>
        <w:tabs>
          <w:tab w:val="left" w:pos="72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ab/>
      </w:r>
    </w:p>
    <w:p w:rsidR="00611316" w:rsidRPr="00EA716D" w:rsidRDefault="00611316" w:rsidP="00C81FBF">
      <w:pPr>
        <w:tabs>
          <w:tab w:val="left" w:pos="0"/>
          <w:tab w:val="left" w:pos="2160"/>
        </w:tabs>
        <w:ind w:firstLine="540"/>
        <w:rPr>
          <w:rFonts w:ascii="Verdana" w:hAnsi="Verdana"/>
          <w:sz w:val="24"/>
        </w:rPr>
      </w:pPr>
      <w:r w:rsidRPr="00EA716D">
        <w:rPr>
          <w:rFonts w:ascii="Verdana" w:hAnsi="Verdana"/>
          <w:b/>
          <w:sz w:val="24"/>
        </w:rPr>
        <w:t>TO:</w:t>
      </w:r>
      <w:r w:rsidRPr="00EA716D">
        <w:rPr>
          <w:rFonts w:ascii="Verdana" w:hAnsi="Verdana"/>
          <w:sz w:val="24"/>
        </w:rPr>
        <w:tab/>
        <w:t>Service Region Administrators</w:t>
      </w:r>
    </w:p>
    <w:p w:rsidR="00611316" w:rsidRPr="00EA716D" w:rsidRDefault="00C81FBF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ab/>
      </w:r>
      <w:r w:rsidR="00611316" w:rsidRPr="00EA716D">
        <w:rPr>
          <w:rFonts w:ascii="Verdana" w:hAnsi="Verdana"/>
          <w:sz w:val="24"/>
        </w:rPr>
        <w:t>Service Region Administrator Associates</w:t>
      </w:r>
    </w:p>
    <w:p w:rsidR="00611316" w:rsidRPr="00EA716D" w:rsidRDefault="00C81FBF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ab/>
      </w:r>
      <w:r w:rsidR="00611316" w:rsidRPr="00EA716D">
        <w:rPr>
          <w:rFonts w:ascii="Verdana" w:hAnsi="Verdana"/>
          <w:sz w:val="24"/>
        </w:rPr>
        <w:t>Service Region Clinical Associates</w:t>
      </w:r>
    </w:p>
    <w:p w:rsidR="00611316" w:rsidRPr="00EA716D" w:rsidRDefault="00C81FBF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 xml:space="preserve"> </w:t>
      </w:r>
      <w:r w:rsidRPr="00EA716D">
        <w:rPr>
          <w:rFonts w:ascii="Verdana" w:hAnsi="Verdana"/>
          <w:sz w:val="24"/>
        </w:rPr>
        <w:tab/>
      </w:r>
      <w:r w:rsidR="00611316" w:rsidRPr="00EA716D">
        <w:rPr>
          <w:rFonts w:ascii="Verdana" w:hAnsi="Verdana"/>
          <w:sz w:val="24"/>
        </w:rPr>
        <w:t>Regional Program Specialists</w:t>
      </w:r>
    </w:p>
    <w:p w:rsidR="00611316" w:rsidRPr="00EA716D" w:rsidRDefault="00C81FBF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 xml:space="preserve"> </w:t>
      </w:r>
      <w:r w:rsidRPr="00EA716D">
        <w:rPr>
          <w:rFonts w:ascii="Verdana" w:hAnsi="Verdana"/>
          <w:sz w:val="24"/>
        </w:rPr>
        <w:tab/>
      </w:r>
      <w:r w:rsidR="00611316" w:rsidRPr="00EA716D">
        <w:rPr>
          <w:rFonts w:ascii="Verdana" w:hAnsi="Verdana"/>
          <w:sz w:val="24"/>
        </w:rPr>
        <w:t>Family Services Office Supervisors</w:t>
      </w:r>
    </w:p>
    <w:p w:rsidR="00611316" w:rsidRPr="00EA716D" w:rsidRDefault="00611316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ab/>
      </w:r>
    </w:p>
    <w:p w:rsidR="00611316" w:rsidRPr="00EA716D" w:rsidRDefault="00611316" w:rsidP="00C81FBF">
      <w:pPr>
        <w:tabs>
          <w:tab w:val="left" w:pos="0"/>
          <w:tab w:val="left" w:pos="2160"/>
        </w:tabs>
        <w:ind w:firstLine="540"/>
        <w:rPr>
          <w:rFonts w:ascii="Verdana" w:hAnsi="Verdana"/>
          <w:sz w:val="24"/>
        </w:rPr>
      </w:pPr>
      <w:r w:rsidRPr="00EA716D">
        <w:rPr>
          <w:rFonts w:ascii="Verdana" w:hAnsi="Verdana"/>
          <w:b/>
          <w:sz w:val="24"/>
        </w:rPr>
        <w:t>FROM:</w:t>
      </w:r>
      <w:r w:rsidRPr="00EA716D">
        <w:rPr>
          <w:rFonts w:ascii="Verdana" w:hAnsi="Verdana"/>
          <w:sz w:val="24"/>
        </w:rPr>
        <w:tab/>
        <w:t>Michael Cheek, Director</w:t>
      </w:r>
    </w:p>
    <w:p w:rsidR="00611316" w:rsidRPr="00EA716D" w:rsidRDefault="00C81FBF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ab/>
      </w:r>
      <w:r w:rsidR="00611316" w:rsidRPr="00EA716D">
        <w:rPr>
          <w:rFonts w:ascii="Verdana" w:hAnsi="Verdana"/>
          <w:sz w:val="24"/>
        </w:rPr>
        <w:t>Division of Protection and Permanency</w:t>
      </w:r>
    </w:p>
    <w:p w:rsidR="00611316" w:rsidRPr="00EA716D" w:rsidRDefault="00611316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</w:p>
    <w:p w:rsidR="00611316" w:rsidRPr="00EA716D" w:rsidRDefault="00611316" w:rsidP="00C81FBF">
      <w:pPr>
        <w:tabs>
          <w:tab w:val="left" w:pos="0"/>
          <w:tab w:val="left" w:pos="2160"/>
        </w:tabs>
        <w:ind w:firstLine="540"/>
        <w:rPr>
          <w:rFonts w:ascii="Verdana" w:hAnsi="Verdana"/>
          <w:sz w:val="24"/>
        </w:rPr>
      </w:pPr>
      <w:r w:rsidRPr="00EA716D">
        <w:rPr>
          <w:rFonts w:ascii="Verdana" w:hAnsi="Verdana"/>
          <w:b/>
          <w:sz w:val="24"/>
        </w:rPr>
        <w:t>DATE:</w:t>
      </w:r>
      <w:r w:rsidRPr="00EA716D">
        <w:rPr>
          <w:rFonts w:ascii="Verdana" w:hAnsi="Verdana"/>
          <w:sz w:val="24"/>
        </w:rPr>
        <w:tab/>
        <w:t>February 4, 2011</w:t>
      </w:r>
    </w:p>
    <w:p w:rsidR="00611316" w:rsidRPr="00EA716D" w:rsidRDefault="00611316" w:rsidP="00C81FBF">
      <w:pPr>
        <w:tabs>
          <w:tab w:val="left" w:pos="0"/>
          <w:tab w:val="left" w:pos="2160"/>
        </w:tabs>
        <w:rPr>
          <w:rFonts w:ascii="Verdana" w:hAnsi="Verdana"/>
          <w:sz w:val="24"/>
        </w:rPr>
      </w:pPr>
    </w:p>
    <w:p w:rsidR="00611316" w:rsidRPr="00EA716D" w:rsidRDefault="00611316" w:rsidP="00C81FBF">
      <w:pPr>
        <w:tabs>
          <w:tab w:val="left" w:pos="0"/>
          <w:tab w:val="left" w:pos="2160"/>
        </w:tabs>
        <w:ind w:firstLine="540"/>
        <w:rPr>
          <w:rFonts w:ascii="Verdana" w:hAnsi="Verdana"/>
          <w:sz w:val="24"/>
        </w:rPr>
      </w:pPr>
      <w:r w:rsidRPr="00EA716D">
        <w:rPr>
          <w:rFonts w:ascii="Verdana" w:hAnsi="Verdana"/>
          <w:b/>
          <w:sz w:val="24"/>
        </w:rPr>
        <w:t xml:space="preserve">SUBJECT:  </w:t>
      </w:r>
      <w:r w:rsidR="00C81FBF" w:rsidRPr="00EA716D">
        <w:rPr>
          <w:rFonts w:ascii="Verdana" w:hAnsi="Verdana"/>
          <w:b/>
          <w:sz w:val="24"/>
        </w:rPr>
        <w:tab/>
      </w:r>
      <w:r w:rsidRPr="00EA716D">
        <w:rPr>
          <w:rFonts w:ascii="Verdana" w:hAnsi="Verdana"/>
          <w:sz w:val="24"/>
        </w:rPr>
        <w:t>Caseworker Visits Initiative</w:t>
      </w:r>
    </w:p>
    <w:p w:rsidR="00611316" w:rsidRPr="00EA716D" w:rsidRDefault="00611316" w:rsidP="00611316">
      <w:pPr>
        <w:tabs>
          <w:tab w:val="left" w:pos="720"/>
          <w:tab w:val="left" w:pos="2160"/>
        </w:tabs>
        <w:rPr>
          <w:rFonts w:ascii="Verdana" w:hAnsi="Verdana"/>
          <w:sz w:val="24"/>
        </w:rPr>
      </w:pPr>
    </w:p>
    <w:p w:rsidR="00611316" w:rsidRPr="00EA716D" w:rsidRDefault="0050364D" w:rsidP="00611316">
      <w:pPr>
        <w:tabs>
          <w:tab w:val="left" w:pos="720"/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 xml:space="preserve">Enclosed in this memorandum is the updated data regarding the caseworker visits </w:t>
      </w:r>
      <w:proofErr w:type="gramStart"/>
      <w:r w:rsidRPr="00EA716D">
        <w:rPr>
          <w:rFonts w:ascii="Verdana" w:hAnsi="Verdana"/>
          <w:sz w:val="24"/>
        </w:rPr>
        <w:t>initiative.</w:t>
      </w:r>
      <w:proofErr w:type="gramEnd"/>
      <w:r w:rsidRPr="00EA716D">
        <w:rPr>
          <w:rFonts w:ascii="Verdana" w:hAnsi="Verdana"/>
          <w:sz w:val="24"/>
        </w:rPr>
        <w:t xml:space="preserve">  Once again, Kentucky has surpassed its interim goal for completion of caseworker visits.  The percentage of children in</w:t>
      </w:r>
      <w:r w:rsidR="002B6D72">
        <w:rPr>
          <w:rFonts w:ascii="Verdana" w:hAnsi="Verdana"/>
          <w:sz w:val="24"/>
        </w:rPr>
        <w:t xml:space="preserve"> out of home</w:t>
      </w:r>
      <w:r w:rsidRPr="00EA716D">
        <w:rPr>
          <w:rFonts w:ascii="Verdana" w:hAnsi="Verdana"/>
          <w:sz w:val="24"/>
        </w:rPr>
        <w:t xml:space="preserve"> care who were visited each full calendar month rose from 43.8% in 2009 to</w:t>
      </w:r>
      <w:r w:rsidR="00C81FBF" w:rsidRPr="00EA716D">
        <w:rPr>
          <w:rFonts w:ascii="Verdana" w:hAnsi="Verdana"/>
          <w:sz w:val="24"/>
        </w:rPr>
        <w:t xml:space="preserve"> 68.8% in 2010.  </w:t>
      </w:r>
      <w:r w:rsidR="00C81FBF" w:rsidRPr="00EA716D">
        <w:rPr>
          <w:rFonts w:ascii="Verdana" w:hAnsi="Verdana"/>
          <w:b/>
          <w:sz w:val="24"/>
        </w:rPr>
        <w:t>This exceeds the improvement the department had projected for the current reporting period</w:t>
      </w:r>
      <w:r w:rsidR="00C81FBF" w:rsidRPr="00EA716D">
        <w:rPr>
          <w:rFonts w:ascii="Verdana" w:hAnsi="Verdana"/>
          <w:sz w:val="24"/>
        </w:rPr>
        <w:t xml:space="preserve">, so congratulations to everyone for their hard work and dedication to this initiative.  </w:t>
      </w:r>
      <w:r w:rsidRPr="00EA716D">
        <w:rPr>
          <w:rFonts w:ascii="Verdana" w:hAnsi="Verdana"/>
          <w:sz w:val="24"/>
        </w:rPr>
        <w:t xml:space="preserve">  </w:t>
      </w:r>
    </w:p>
    <w:p w:rsidR="00611316" w:rsidRPr="00EA716D" w:rsidRDefault="00611316" w:rsidP="00797852">
      <w:pPr>
        <w:tabs>
          <w:tab w:val="left" w:pos="2160"/>
        </w:tabs>
        <w:rPr>
          <w:rFonts w:cs="Arial"/>
          <w:sz w:val="24"/>
        </w:rPr>
      </w:pPr>
    </w:p>
    <w:p w:rsidR="00C81FBF" w:rsidRPr="00EA716D" w:rsidRDefault="00C81FBF" w:rsidP="00797852">
      <w:pPr>
        <w:tabs>
          <w:tab w:val="left" w:pos="2160"/>
        </w:tabs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 xml:space="preserve">Personnel should not be discouraged by any perception that the improvement was a small one.  Gradual improvements are typically more sustainable, and the caseworker visit initiative is part of an ongoing effort to permanently increase the number of children in OOHC who receive a monthly face to face visit with a worker in accordance with federal standards.  </w:t>
      </w:r>
      <w:r w:rsidR="002B6D72">
        <w:rPr>
          <w:rFonts w:ascii="Verdana" w:hAnsi="Verdana"/>
          <w:sz w:val="24"/>
        </w:rPr>
        <w:t xml:space="preserve">Kentucky’s goal for 2010 was to ensure that </w:t>
      </w:r>
      <w:r w:rsidR="002B6D72" w:rsidRPr="002B6D72">
        <w:rPr>
          <w:rFonts w:ascii="Verdana" w:hAnsi="Verdana"/>
          <w:b/>
          <w:sz w:val="24"/>
        </w:rPr>
        <w:t>61%</w:t>
      </w:r>
      <w:r w:rsidR="002B6D72">
        <w:rPr>
          <w:rFonts w:ascii="Verdana" w:hAnsi="Verdana"/>
          <w:sz w:val="24"/>
        </w:rPr>
        <w:t xml:space="preserve"> of all children in out of home care were visited each calendar month.  For 2011</w:t>
      </w:r>
      <w:r w:rsidRPr="00EA716D">
        <w:rPr>
          <w:rFonts w:ascii="Verdana" w:hAnsi="Verdana"/>
          <w:sz w:val="24"/>
        </w:rPr>
        <w:t xml:space="preserve"> every state will be required to demonstrate that </w:t>
      </w:r>
      <w:r w:rsidRPr="00EA716D">
        <w:rPr>
          <w:rFonts w:ascii="Verdana" w:hAnsi="Verdana"/>
          <w:b/>
          <w:sz w:val="24"/>
        </w:rPr>
        <w:t>90%</w:t>
      </w:r>
      <w:r w:rsidRPr="00EA716D">
        <w:rPr>
          <w:rFonts w:ascii="Verdana" w:hAnsi="Verdana"/>
          <w:sz w:val="24"/>
        </w:rPr>
        <w:t xml:space="preserve"> of the children in out of home care are visited every calendar month that the child remains in care.  </w:t>
      </w:r>
    </w:p>
    <w:p w:rsidR="00C81FBF" w:rsidRPr="00EA716D" w:rsidRDefault="00C81FBF" w:rsidP="00797852">
      <w:pPr>
        <w:tabs>
          <w:tab w:val="left" w:pos="2160"/>
        </w:tabs>
        <w:rPr>
          <w:rFonts w:ascii="Verdana" w:hAnsi="Verdana"/>
          <w:sz w:val="24"/>
        </w:rPr>
      </w:pPr>
    </w:p>
    <w:p w:rsidR="00EA716D" w:rsidRDefault="00EA716D" w:rsidP="00EA716D">
      <w:pPr>
        <w:snapToGrid w:val="0"/>
        <w:ind w:left="-90" w:right="676"/>
        <w:rPr>
          <w:rFonts w:ascii="Verdana" w:hAnsi="Verdana"/>
          <w:sz w:val="24"/>
        </w:rPr>
      </w:pPr>
    </w:p>
    <w:p w:rsidR="00EA716D" w:rsidRDefault="00EA716D" w:rsidP="00EA716D">
      <w:pPr>
        <w:snapToGrid w:val="0"/>
        <w:ind w:left="-90" w:right="676"/>
        <w:rPr>
          <w:rFonts w:ascii="Verdana" w:hAnsi="Verdana"/>
          <w:sz w:val="24"/>
        </w:rPr>
      </w:pPr>
    </w:p>
    <w:p w:rsidR="00EA716D" w:rsidRPr="00EA716D" w:rsidRDefault="00C81FBF" w:rsidP="00EA716D">
      <w:pPr>
        <w:snapToGrid w:val="0"/>
        <w:ind w:left="-90" w:right="676"/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 xml:space="preserve">Please continue referring to the </w:t>
      </w:r>
      <w:hyperlink r:id="rId8" w:history="1">
        <w:r w:rsidRPr="00EA716D">
          <w:rPr>
            <w:rStyle w:val="Hyperlink"/>
            <w:rFonts w:ascii="Verdana" w:hAnsi="Verdana"/>
            <w:sz w:val="24"/>
          </w:rPr>
          <w:t xml:space="preserve">Tip Sheet for Documenting Monthly Caseworker Visits </w:t>
        </w:r>
        <w:proofErr w:type="gramStart"/>
        <w:r w:rsidRPr="00EA716D">
          <w:rPr>
            <w:rStyle w:val="Hyperlink"/>
            <w:rFonts w:ascii="Verdana" w:hAnsi="Verdana"/>
            <w:sz w:val="24"/>
          </w:rPr>
          <w:t>With</w:t>
        </w:r>
        <w:proofErr w:type="gramEnd"/>
        <w:r w:rsidRPr="00EA716D">
          <w:rPr>
            <w:rStyle w:val="Hyperlink"/>
            <w:rFonts w:ascii="Verdana" w:hAnsi="Verdana"/>
            <w:sz w:val="24"/>
          </w:rPr>
          <w:t xml:space="preserve"> Children in OOHC</w:t>
        </w:r>
      </w:hyperlink>
      <w:r w:rsidRPr="00EA716D">
        <w:rPr>
          <w:rFonts w:ascii="Verdana" w:hAnsi="Verdana"/>
          <w:sz w:val="24"/>
        </w:rPr>
        <w:t xml:space="preserve"> to ensure continued success in correct</w:t>
      </w:r>
      <w:r w:rsidR="00EA716D" w:rsidRPr="00EA716D">
        <w:rPr>
          <w:rFonts w:ascii="Verdana" w:hAnsi="Verdana"/>
          <w:sz w:val="24"/>
        </w:rPr>
        <w:t>ly entering contacts into TWIST.  Staff may also refer to t</w:t>
      </w:r>
      <w:r w:rsidRPr="00EA716D">
        <w:rPr>
          <w:rFonts w:ascii="Verdana" w:hAnsi="Verdana"/>
          <w:sz w:val="24"/>
        </w:rPr>
        <w:t xml:space="preserve">he TWS-M280 and TWS-M280S </w:t>
      </w:r>
      <w:r w:rsidR="00EA716D" w:rsidRPr="00EA716D">
        <w:rPr>
          <w:rFonts w:ascii="Verdana" w:hAnsi="Verdana"/>
          <w:sz w:val="24"/>
        </w:rPr>
        <w:t xml:space="preserve">which </w:t>
      </w:r>
      <w:r w:rsidRPr="00EA716D">
        <w:rPr>
          <w:rFonts w:ascii="Verdana" w:hAnsi="Verdana"/>
          <w:sz w:val="24"/>
        </w:rPr>
        <w:t>report monthly face to face contacts and incorporate cumulative information over a 12 month period.</w:t>
      </w:r>
    </w:p>
    <w:p w:rsidR="00EA716D" w:rsidRPr="00EA716D" w:rsidRDefault="00EA716D" w:rsidP="00C81FBF">
      <w:pPr>
        <w:snapToGrid w:val="0"/>
        <w:ind w:left="-90" w:right="676"/>
        <w:rPr>
          <w:rFonts w:ascii="Verdana" w:hAnsi="Verdana"/>
          <w:sz w:val="24"/>
        </w:rPr>
      </w:pPr>
    </w:p>
    <w:p w:rsidR="00EA716D" w:rsidRPr="00EA716D" w:rsidRDefault="00EA716D" w:rsidP="00C81FBF">
      <w:pPr>
        <w:snapToGrid w:val="0"/>
        <w:ind w:left="-90" w:right="676"/>
        <w:rPr>
          <w:rFonts w:ascii="Verdana" w:hAnsi="Verdana"/>
          <w:sz w:val="24"/>
        </w:rPr>
      </w:pPr>
      <w:r w:rsidRPr="00EA716D">
        <w:rPr>
          <w:rFonts w:ascii="Verdana" w:hAnsi="Verdana"/>
          <w:sz w:val="24"/>
        </w:rPr>
        <w:t xml:space="preserve">If you have any questions concerning this memorandum, please contact Sarah A. Cooper at </w:t>
      </w:r>
      <w:hyperlink r:id="rId9" w:history="1">
        <w:r w:rsidRPr="00EA716D">
          <w:rPr>
            <w:rStyle w:val="Hyperlink"/>
            <w:rFonts w:ascii="Verdana" w:hAnsi="Verdana"/>
            <w:sz w:val="24"/>
          </w:rPr>
          <w:t>sarah.cooper@ky.gov</w:t>
        </w:r>
      </w:hyperlink>
      <w:r w:rsidRPr="00EA716D">
        <w:rPr>
          <w:rFonts w:ascii="Verdana" w:hAnsi="Verdana"/>
          <w:sz w:val="24"/>
        </w:rPr>
        <w:t xml:space="preserve"> or by telephone at (502) 564-7536 (ext. 4494).</w:t>
      </w:r>
    </w:p>
    <w:p w:rsidR="00C81FBF" w:rsidRDefault="00C81FBF" w:rsidP="00C81FBF">
      <w:pPr>
        <w:snapToGrid w:val="0"/>
        <w:ind w:left="-90" w:right="676"/>
        <w:rPr>
          <w:rFonts w:ascii="Verdana" w:hAnsi="Verdana"/>
        </w:rPr>
      </w:pPr>
    </w:p>
    <w:p w:rsidR="00C81FBF" w:rsidRDefault="00C81FBF" w:rsidP="00C81FBF">
      <w:pPr>
        <w:snapToGrid w:val="0"/>
        <w:ind w:left="-90" w:right="676"/>
        <w:rPr>
          <w:rFonts w:ascii="Verdana" w:hAnsi="Verdana"/>
          <w:szCs w:val="22"/>
        </w:rPr>
      </w:pPr>
    </w:p>
    <w:p w:rsidR="00123203" w:rsidRPr="00797852" w:rsidRDefault="00C81FBF" w:rsidP="00797852">
      <w:pPr>
        <w:tabs>
          <w:tab w:val="left" w:pos="2160"/>
        </w:tabs>
        <w:rPr>
          <w:rFonts w:cs="Arial"/>
          <w:szCs w:val="22"/>
        </w:rPr>
      </w:pPr>
      <w:r>
        <w:rPr>
          <w:rFonts w:ascii="Verdana" w:hAnsi="Verdana"/>
          <w:szCs w:val="22"/>
        </w:rPr>
        <w:t xml:space="preserve"> </w:t>
      </w:r>
    </w:p>
    <w:sectPr w:rsidR="00123203" w:rsidRPr="00797852" w:rsidSect="00EA716D">
      <w:headerReference w:type="even" r:id="rId10"/>
      <w:headerReference w:type="first" r:id="rId11"/>
      <w:footerReference w:type="first" r:id="rId12"/>
      <w:pgSz w:w="12240" w:h="15840" w:code="1"/>
      <w:pgMar w:top="1008" w:right="965" w:bottom="1008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65" w:rsidRDefault="002D3665">
      <w:r>
        <w:separator/>
      </w:r>
    </w:p>
  </w:endnote>
  <w:endnote w:type="continuationSeparator" w:id="0">
    <w:p w:rsidR="002D3665" w:rsidRDefault="002D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4D" w:rsidRDefault="00822433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8pt;margin-top:-14.65pt;width:167.5pt;height:46.4pt;z-index:251656704" stroked="f">
          <v:textbox style="mso-next-textbox:#_x0000_s1029">
            <w:txbxContent>
              <w:p w:rsidR="0050364D" w:rsidRDefault="00392D86" w:rsidP="0052108B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3" name="Picture 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0364D" w:rsidRPr="00524DAE" w:rsidRDefault="0050364D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65" w:rsidRDefault="002D3665">
      <w:r>
        <w:separator/>
      </w:r>
    </w:p>
  </w:footnote>
  <w:footnote w:type="continuationSeparator" w:id="0">
    <w:p w:rsidR="002D3665" w:rsidRDefault="002D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A0" w:rsidRDefault="008224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678329" o:spid="_x0000_s1033" type="#_x0000_t136" style="position:absolute;margin-left:0;margin-top:0;width:539.45pt;height:215.75pt;rotation:315;z-index:-25165363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4D" w:rsidRDefault="00822433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34pt;margin-top:5.7pt;width:85.1pt;height:77.7pt;z-index:251657728" stroked="f">
          <v:textbox style="mso-next-textbox:#_x0000_s1030">
            <w:txbxContent>
              <w:p w:rsidR="0050364D" w:rsidRDefault="00392D86" w:rsidP="00797852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2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0364D" w:rsidRDefault="0050364D" w:rsidP="00797852">
    <w:pPr>
      <w:tabs>
        <w:tab w:val="center" w:pos="5264"/>
      </w:tabs>
      <w:spacing w:line="220" w:lineRule="atLeast"/>
      <w:rPr>
        <w:sz w:val="20"/>
      </w:rPr>
    </w:pPr>
  </w:p>
  <w:p w:rsidR="0050364D" w:rsidRDefault="0050364D" w:rsidP="00797852">
    <w:pPr>
      <w:spacing w:line="220" w:lineRule="atLeast"/>
      <w:rPr>
        <w:sz w:val="20"/>
      </w:rPr>
    </w:pPr>
  </w:p>
  <w:p w:rsidR="0050364D" w:rsidRDefault="0050364D" w:rsidP="00797852">
    <w:pPr>
      <w:spacing w:line="260" w:lineRule="atLeast"/>
      <w:rPr>
        <w:rFonts w:ascii="TradeGothic LH BoldExtended" w:hAnsi="TradeGothic LH BoldExtended"/>
        <w:sz w:val="20"/>
      </w:rPr>
    </w:pPr>
  </w:p>
  <w:p w:rsidR="0050364D" w:rsidRDefault="0050364D" w:rsidP="00797852">
    <w:pPr>
      <w:spacing w:line="260" w:lineRule="atLeast"/>
      <w:rPr>
        <w:sz w:val="20"/>
      </w:rPr>
    </w:pPr>
  </w:p>
  <w:p w:rsidR="0050364D" w:rsidRDefault="0050364D" w:rsidP="00797852">
    <w:pPr>
      <w:spacing w:line="260" w:lineRule="atLeast"/>
      <w:rPr>
        <w:sz w:val="20"/>
      </w:rPr>
    </w:pPr>
  </w:p>
  <w:p w:rsidR="0050364D" w:rsidRDefault="0050364D" w:rsidP="00797852">
    <w:pPr>
      <w:spacing w:line="140" w:lineRule="atLeast"/>
      <w:rPr>
        <w:sz w:val="20"/>
      </w:rPr>
    </w:pPr>
  </w:p>
  <w:p w:rsidR="0050364D" w:rsidRDefault="0050364D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0364D" w:rsidRDefault="0050364D" w:rsidP="00797852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50364D" w:rsidRDefault="00822433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31" type="#_x0000_t202" style="position:absolute;margin-left:210pt;margin-top:7.05pt;width:138pt;height:73.8pt;z-index:251658752" stroked="f">
          <v:textbox style="mso-next-textbox:#_x0000_s1031">
            <w:txbxContent>
              <w:p w:rsidR="0050364D" w:rsidRDefault="0050364D" w:rsidP="00CF573F">
                <w:pPr>
                  <w:pStyle w:val="Address"/>
                </w:pPr>
                <w:r>
                  <w:t>Protection and Permanency</w:t>
                </w:r>
              </w:p>
              <w:p w:rsidR="0050364D" w:rsidRDefault="0050364D" w:rsidP="00797852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50364D" w:rsidRDefault="0050364D" w:rsidP="00797852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50364D" w:rsidRDefault="0050364D" w:rsidP="00797852">
                <w:pPr>
                  <w:pStyle w:val="Address"/>
                </w:pPr>
                <w:r>
                  <w:t>(502) 564-7536 (Phone)</w:t>
                </w:r>
              </w:p>
              <w:p w:rsidR="0050364D" w:rsidRDefault="0050364D" w:rsidP="00797852">
                <w:pPr>
                  <w:pStyle w:val="Address"/>
                </w:pPr>
                <w:r>
                  <w:t>(502) 564-4653 (Fax)</w:t>
                </w:r>
              </w:p>
              <w:p w:rsidR="0050364D" w:rsidRDefault="0050364D" w:rsidP="00797852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50364D" w:rsidRDefault="0050364D" w:rsidP="00797852">
    <w:pPr>
      <w:pStyle w:val="GovSecretaryDeputySecname"/>
      <w:tabs>
        <w:tab w:val="clear" w:pos="10944"/>
        <w:tab w:val="center" w:pos="9360"/>
      </w:tabs>
    </w:pPr>
    <w:r>
      <w:t>Steven L. Beshear</w:t>
    </w:r>
    <w:r>
      <w:tab/>
      <w:t>Janie Miller</w:t>
    </w:r>
  </w:p>
  <w:p w:rsidR="0050364D" w:rsidRDefault="0050364D" w:rsidP="00797852">
    <w:pPr>
      <w:pStyle w:val="GovSecretaryDeputySectilte"/>
      <w:tabs>
        <w:tab w:val="clear" w:pos="10944"/>
        <w:tab w:val="center" w:pos="9360"/>
      </w:tabs>
    </w:pPr>
    <w:r>
      <w:t>Governor</w:t>
    </w:r>
    <w:r>
      <w:tab/>
      <w:t>Secretary</w:t>
    </w:r>
  </w:p>
  <w:p w:rsidR="0050364D" w:rsidRDefault="0050364D" w:rsidP="00797852">
    <w:pPr>
      <w:pStyle w:val="GovSecretaryDeputySecname"/>
    </w:pPr>
  </w:p>
  <w:p w:rsidR="0050364D" w:rsidRDefault="0050364D" w:rsidP="00797852">
    <w:pPr>
      <w:pStyle w:val="GovSecretaryDeputySectilte"/>
    </w:pPr>
    <w:r>
      <w:tab/>
    </w:r>
  </w:p>
  <w:p w:rsidR="0050364D" w:rsidRPr="00797852" w:rsidRDefault="0050364D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108B"/>
    <w:rsid w:val="000338B5"/>
    <w:rsid w:val="00072FBF"/>
    <w:rsid w:val="000C65CA"/>
    <w:rsid w:val="000E3849"/>
    <w:rsid w:val="00123203"/>
    <w:rsid w:val="0017490F"/>
    <w:rsid w:val="001934E5"/>
    <w:rsid w:val="001F7F4E"/>
    <w:rsid w:val="00202F1C"/>
    <w:rsid w:val="00220749"/>
    <w:rsid w:val="002257A4"/>
    <w:rsid w:val="00225B33"/>
    <w:rsid w:val="0024483B"/>
    <w:rsid w:val="00280D3D"/>
    <w:rsid w:val="002A33A0"/>
    <w:rsid w:val="002B6D72"/>
    <w:rsid w:val="002D29D3"/>
    <w:rsid w:val="002D3665"/>
    <w:rsid w:val="002D5CBA"/>
    <w:rsid w:val="00322E22"/>
    <w:rsid w:val="00387552"/>
    <w:rsid w:val="00392D86"/>
    <w:rsid w:val="003C5712"/>
    <w:rsid w:val="003C6ABB"/>
    <w:rsid w:val="00427A0E"/>
    <w:rsid w:val="00436673"/>
    <w:rsid w:val="0050364D"/>
    <w:rsid w:val="005135DD"/>
    <w:rsid w:val="0052108B"/>
    <w:rsid w:val="00524DAE"/>
    <w:rsid w:val="00532EBB"/>
    <w:rsid w:val="00585967"/>
    <w:rsid w:val="005B2FBA"/>
    <w:rsid w:val="005F1332"/>
    <w:rsid w:val="00601ECA"/>
    <w:rsid w:val="00611316"/>
    <w:rsid w:val="006341DC"/>
    <w:rsid w:val="006C43DA"/>
    <w:rsid w:val="007171EB"/>
    <w:rsid w:val="00797852"/>
    <w:rsid w:val="007A0FC9"/>
    <w:rsid w:val="007B16CD"/>
    <w:rsid w:val="007D217B"/>
    <w:rsid w:val="00822433"/>
    <w:rsid w:val="00867DE4"/>
    <w:rsid w:val="009651EB"/>
    <w:rsid w:val="00A07E8E"/>
    <w:rsid w:val="00A15CB9"/>
    <w:rsid w:val="00A4613D"/>
    <w:rsid w:val="00AE21C3"/>
    <w:rsid w:val="00B33CC2"/>
    <w:rsid w:val="00B428A3"/>
    <w:rsid w:val="00B56785"/>
    <w:rsid w:val="00BA176E"/>
    <w:rsid w:val="00BC21CE"/>
    <w:rsid w:val="00BC3AD0"/>
    <w:rsid w:val="00BC760D"/>
    <w:rsid w:val="00BF1D9F"/>
    <w:rsid w:val="00BF3A23"/>
    <w:rsid w:val="00C61146"/>
    <w:rsid w:val="00C64E29"/>
    <w:rsid w:val="00C81FBF"/>
    <w:rsid w:val="00C847BD"/>
    <w:rsid w:val="00CC1C59"/>
    <w:rsid w:val="00CF573F"/>
    <w:rsid w:val="00D070A4"/>
    <w:rsid w:val="00D351DF"/>
    <w:rsid w:val="00D73EAC"/>
    <w:rsid w:val="00D9414D"/>
    <w:rsid w:val="00DB2256"/>
    <w:rsid w:val="00E20432"/>
    <w:rsid w:val="00E367CE"/>
    <w:rsid w:val="00E5548F"/>
    <w:rsid w:val="00E74C17"/>
    <w:rsid w:val="00E93EA8"/>
    <w:rsid w:val="00EA716D"/>
    <w:rsid w:val="00EE34D6"/>
    <w:rsid w:val="00F0079B"/>
    <w:rsid w:val="00F035C1"/>
    <w:rsid w:val="00F27813"/>
    <w:rsid w:val="00F30990"/>
    <w:rsid w:val="00F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chfs.ky.gov/dcbs_manuals/dpp/docs/Documenting%20OOHC%20Caseworker%20Visits%20Tipsheet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cooper@ky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15696-5778-4F4F-9809-017D9D4ABA06}"/>
</file>

<file path=customXml/itemProps2.xml><?xml version="1.0" encoding="utf-8"?>
<ds:datastoreItem xmlns:ds="http://schemas.openxmlformats.org/officeDocument/2006/customXml" ds:itemID="{6DB6F656-3631-4D49-AC4D-0A86E7D944C0}"/>
</file>

<file path=customXml/itemProps3.xml><?xml version="1.0" encoding="utf-8"?>
<ds:datastoreItem xmlns:ds="http://schemas.openxmlformats.org/officeDocument/2006/customXml" ds:itemID="{207AEE8C-4320-486C-8024-7E75EAFA3F2C}"/>
</file>

<file path=customXml/itemProps4.xml><?xml version="1.0" encoding="utf-8"?>
<ds:datastoreItem xmlns:ds="http://schemas.openxmlformats.org/officeDocument/2006/customXml" ds:itemID="{F42348CD-6FA1-4FD0-8807-E1465D765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11-02 Caseworker Visits Initiative</dc:title>
  <dc:creator>Beth.Holbrook</dc:creator>
  <cp:lastModifiedBy>lisar.smith</cp:lastModifiedBy>
  <cp:revision>2</cp:revision>
  <cp:lastPrinted>2011-01-21T14:59:00Z</cp:lastPrinted>
  <dcterms:created xsi:type="dcterms:W3CDTF">2011-02-04T13:40:00Z</dcterms:created>
  <dcterms:modified xsi:type="dcterms:W3CDTF">2011-02-04T13:40:00Z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